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DD" w:rsidRDefault="00024DDD" w:rsidP="00024DDD">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М.И. Гарипов                            Дело № 33-7990/2018</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Учёт № 147г</w:t>
      </w:r>
    </w:p>
    <w:p w:rsidR="00024DDD" w:rsidRDefault="00024DDD" w:rsidP="00024DDD">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АПЕЛЛЯЦИОННОЕ ОПРЕДЕЛЕНИЕ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14 мая 2018 г.                                            г. Казань</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по гражданским делам Верховного Суда Республики Татарстан в составе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председательствующего судьи Б.Г. Абдуллаева,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судей Г.А. Абдуллиной и И.В. Назаровой,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судебного заседания А.И. </w:t>
      </w:r>
      <w:proofErr w:type="spellStart"/>
      <w:r>
        <w:rPr>
          <w:rFonts w:ascii="Helvetica" w:hAnsi="Helvetica" w:cs="Helvetica"/>
          <w:color w:val="333333"/>
          <w:sz w:val="26"/>
          <w:szCs w:val="26"/>
        </w:rPr>
        <w:t>Фазылзяновой</w:t>
      </w:r>
      <w:proofErr w:type="spellEnd"/>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рассмотрела в открытом судебном заседании по докладу судьи Б.Г. Абдуллаева апелляционную жалобу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на решение </w:t>
      </w:r>
      <w:proofErr w:type="spellStart"/>
      <w:r>
        <w:rPr>
          <w:rFonts w:ascii="Helvetica" w:hAnsi="Helvetica" w:cs="Helvetica"/>
          <w:color w:val="333333"/>
          <w:sz w:val="26"/>
          <w:szCs w:val="26"/>
        </w:rPr>
        <w:t>Набережночелнинского</w:t>
      </w:r>
      <w:proofErr w:type="spellEnd"/>
      <w:r>
        <w:rPr>
          <w:rFonts w:ascii="Helvetica" w:hAnsi="Helvetica" w:cs="Helvetica"/>
          <w:color w:val="333333"/>
          <w:sz w:val="26"/>
          <w:szCs w:val="26"/>
        </w:rPr>
        <w:t xml:space="preserve"> городского суда Республики Татарстан от 22 февраля 2018 г., которым постановлено: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иск </w:t>
      </w:r>
      <w:r>
        <w:rPr>
          <w:rFonts w:ascii="Helvetica" w:hAnsi="Helvetica" w:cs="Helvetica"/>
          <w:color w:val="333333"/>
          <w:sz w:val="26"/>
          <w:szCs w:val="26"/>
        </w:rPr>
        <w:t>+++++++</w:t>
      </w:r>
      <w:r>
        <w:rPr>
          <w:rFonts w:ascii="Helvetica" w:hAnsi="Helvetica" w:cs="Helvetica"/>
          <w:color w:val="333333"/>
          <w:sz w:val="26"/>
          <w:szCs w:val="26"/>
        </w:rPr>
        <w:t xml:space="preserve"> к публичному акционерному обществу Страховая компания «</w:t>
      </w:r>
      <w:r>
        <w:rPr>
          <w:rFonts w:ascii="Helvetica" w:hAnsi="Helvetica" w:cs="Helvetica"/>
          <w:color w:val="333333"/>
          <w:sz w:val="26"/>
          <w:szCs w:val="26"/>
        </w:rPr>
        <w:t>***</w:t>
      </w:r>
      <w:r>
        <w:rPr>
          <w:rFonts w:ascii="Helvetica" w:hAnsi="Helvetica" w:cs="Helvetica"/>
          <w:color w:val="333333"/>
          <w:sz w:val="26"/>
          <w:szCs w:val="26"/>
        </w:rPr>
        <w:t>» удовлетворить частично;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пользу А.</w:t>
      </w:r>
      <w:proofErr w:type="gramStart"/>
      <w:r>
        <w:rPr>
          <w:rFonts w:ascii="Helvetica" w:hAnsi="Helvetica" w:cs="Helvetica"/>
          <w:color w:val="333333"/>
          <w:sz w:val="26"/>
          <w:szCs w:val="26"/>
        </w:rPr>
        <w:t>А.</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страховое возмещение в размере 10 940 руб., штраф – 5 000 руб., неустойку – 10 000 руб., компенсацию морального вреда – 1 000 руб., в возмещение судебных расходов на оплату юридических услуг 6 000 руб. и на оценку 5 000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удовлетворении остальной части иска отказать;</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в пользу общества с ограниченной ответственностью «Центр Оценки «</w:t>
      </w:r>
      <w:r>
        <w:rPr>
          <w:rFonts w:ascii="Helvetica" w:hAnsi="Helvetica" w:cs="Helvetica"/>
          <w:color w:val="333333"/>
          <w:sz w:val="26"/>
          <w:szCs w:val="26"/>
        </w:rPr>
        <w:t>***</w:t>
      </w:r>
      <w:r>
        <w:rPr>
          <w:rFonts w:ascii="Helvetica" w:hAnsi="Helvetica" w:cs="Helvetica"/>
          <w:color w:val="333333"/>
          <w:sz w:val="26"/>
          <w:szCs w:val="26"/>
        </w:rPr>
        <w:t>» в возмещение расходов на проведение судебной экспертизы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1 925 руб., с А.</w:t>
      </w:r>
      <w:proofErr w:type="gramStart"/>
      <w:r>
        <w:rPr>
          <w:rFonts w:ascii="Helvetica" w:hAnsi="Helvetica" w:cs="Helvetica"/>
          <w:color w:val="333333"/>
          <w:sz w:val="26"/>
          <w:szCs w:val="26"/>
        </w:rPr>
        <w:t>А.</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23 075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бюджет муниципального образования г. Набережные Челны государственную пошлину в размере 737 руб. 60 коп.</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Проверив материалы дела, выслушав объяснения представителя истца А.</w:t>
      </w:r>
      <w:proofErr w:type="gramStart"/>
      <w:r>
        <w:rPr>
          <w:rFonts w:ascii="Helvetica" w:hAnsi="Helvetica" w:cs="Helvetica"/>
          <w:color w:val="333333"/>
          <w:sz w:val="26"/>
          <w:szCs w:val="26"/>
        </w:rPr>
        <w:t>А.</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а Р.М. </w:t>
      </w:r>
      <w:r>
        <w:rPr>
          <w:rFonts w:ascii="Helvetica" w:hAnsi="Helvetica" w:cs="Helvetica"/>
          <w:color w:val="333333"/>
          <w:sz w:val="26"/>
          <w:szCs w:val="26"/>
        </w:rPr>
        <w:t>***</w:t>
      </w:r>
      <w:r>
        <w:rPr>
          <w:rFonts w:ascii="Helvetica" w:hAnsi="Helvetica" w:cs="Helvetica"/>
          <w:color w:val="333333"/>
          <w:sz w:val="26"/>
          <w:szCs w:val="26"/>
        </w:rPr>
        <w:t>а, обсудив доводы апелляционной жалобы, судебная коллегия</w:t>
      </w:r>
    </w:p>
    <w:p w:rsidR="00024DDD" w:rsidRDefault="00024DDD" w:rsidP="00024DDD">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А.А. </w:t>
      </w:r>
      <w:r>
        <w:rPr>
          <w:rFonts w:ascii="Helvetica" w:hAnsi="Helvetica" w:cs="Helvetica"/>
          <w:color w:val="333333"/>
          <w:sz w:val="26"/>
          <w:szCs w:val="26"/>
        </w:rPr>
        <w:t>***</w:t>
      </w:r>
      <w:r>
        <w:rPr>
          <w:rFonts w:ascii="Helvetica" w:hAnsi="Helvetica" w:cs="Helvetica"/>
          <w:color w:val="333333"/>
          <w:sz w:val="26"/>
          <w:szCs w:val="26"/>
        </w:rPr>
        <w:t xml:space="preserve"> обратился в суд с иском к публичному акционерному обществу Страховая компания «</w:t>
      </w:r>
      <w:r>
        <w:rPr>
          <w:rFonts w:ascii="Helvetica" w:hAnsi="Helvetica" w:cs="Helvetica"/>
          <w:color w:val="333333"/>
          <w:sz w:val="26"/>
          <w:szCs w:val="26"/>
        </w:rPr>
        <w:t>***</w:t>
      </w:r>
      <w:r>
        <w:rPr>
          <w:rFonts w:ascii="Helvetica" w:hAnsi="Helvetica" w:cs="Helvetica"/>
          <w:color w:val="333333"/>
          <w:sz w:val="26"/>
          <w:szCs w:val="26"/>
        </w:rPr>
        <w:t>» (далее – Общество) о возмещении ущерба в размере 140 600 руб., взыскании штрафа в размере 50% от взысканной судом страховой выплаты, неустойки в сумме 118 104 руб. и по день принятия решения суда, компенсации морального вреда в сумме 10 000 руб., в возмещение расходов на оплату услуг по</w:t>
      </w:r>
      <w:proofErr w:type="gramEnd"/>
      <w:r>
        <w:rPr>
          <w:rFonts w:ascii="Helvetica" w:hAnsi="Helvetica" w:cs="Helvetica"/>
          <w:color w:val="333333"/>
          <w:sz w:val="26"/>
          <w:szCs w:val="26"/>
        </w:rPr>
        <w:t xml:space="preserve"> телеграфированию 276 руб. 24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услуг по оценке 5 000 руб., юридических услуг 10 000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иска указано, что 4 июня 2017 г. в г. Набережные Челны произошло дорожно-транспортное происшествие (далее – ДТП) с участием автомобиля марки «Лада» под управлением </w:t>
      </w:r>
      <w:r>
        <w:rPr>
          <w:rStyle w:val="fio1"/>
          <w:rFonts w:ascii="Helvetica" w:hAnsi="Helvetica" w:cs="Helvetica"/>
          <w:color w:val="333333"/>
          <w:sz w:val="26"/>
          <w:szCs w:val="26"/>
        </w:rPr>
        <w:t>И.И.М.</w:t>
      </w:r>
      <w:r>
        <w:rPr>
          <w:rFonts w:ascii="Helvetica" w:hAnsi="Helvetica" w:cs="Helvetica"/>
          <w:color w:val="333333"/>
          <w:sz w:val="26"/>
          <w:szCs w:val="26"/>
        </w:rPr>
        <w:t> и автомобиля марки «Шевроле», принадлежащего истцу. Виновником ДТП является </w:t>
      </w:r>
      <w:r>
        <w:rPr>
          <w:rStyle w:val="fio1"/>
          <w:rFonts w:ascii="Helvetica" w:hAnsi="Helvetica" w:cs="Helvetica"/>
          <w:color w:val="333333"/>
          <w:sz w:val="26"/>
          <w:szCs w:val="26"/>
        </w:rPr>
        <w:t>И.И.М.</w:t>
      </w:r>
      <w:r>
        <w:rPr>
          <w:rFonts w:ascii="Helvetica" w:hAnsi="Helvetica" w:cs="Helvetica"/>
          <w:color w:val="333333"/>
          <w:sz w:val="26"/>
          <w:szCs w:val="26"/>
        </w:rPr>
        <w:t>, автомобилю истца причинены повреждения. Ответчик, застраховавший гражданскую ответственность потерпевшего, выплатил ему страховое возмещение в сумме 19 000 руб. Однако стоимость восстановительного ремонта составляет 160 200 руб. По претензии истца ответчик доплатил 600 руб. Кроме того, ответчик выплатил истцу сумму утраты товарной стоимости в размере 16 718 руб. 51 коп</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возместил расходы на оценку – 3 000 руб. За нарушение срока выплаты </w:t>
      </w:r>
      <w:r>
        <w:rPr>
          <w:rFonts w:ascii="Helvetica" w:hAnsi="Helvetica" w:cs="Helvetica"/>
          <w:color w:val="333333"/>
          <w:sz w:val="26"/>
          <w:szCs w:val="26"/>
        </w:rPr>
        <w:lastRenderedPageBreak/>
        <w:t>страхового возмещения ответчик должен уплатить законную неустойку, начиная с 29 июня 2017 г.</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принял решение в вышеуказанной формулировке.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ответчик просит решение суда отменить и принять новое решение об отказе в иске. В обоснование жалобы указано, что решение суда является незаконным и необоснованным. Ответчик исполнил обязательство по осуществлению страховой выплаты истцу, который своими действиями злоупотребляет правом, так как не предоставил автомобиль для дополнительного осмотра. Оснований для возмещения расходов на проведение экспертизы и судебной экспертизы не имеется, данные расходы должны быть возмещены с ответчика пропорционально размеру удовлетворённых требований, с истца пропорционально той части требований, в которой ему отказано. Расходы на оплату услуг представителя завышены, взыскание неустойки, штрафа является незаконным. Основания для взыскания компенсации морального вреда отсутствуют. Неустойка и штраф подлежат уменьшению ввиду явной несоразмерности последствиям нарушения обязательства.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судебном заседании представитель истца с апелляционной жалобой не согласился, просил решение суда оставить без изменения,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Дело в апелляционном порядке рассмотрено в отсутствие ответчика, извещённого о времени и месте судебного заседания надлежащим образом и не сообщившего суду об уважительных причинах неявки.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приходит к следующим выводам.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пунктов 1 и 2 статьи 15 Гражданского кодекса Российской Федерации (далее –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Под убытками понимаются, в частности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пунктом 1 и подпунктом 2 пункта 2 статьи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w:t>
      </w:r>
      <w:proofErr w:type="gramEnd"/>
      <w:r>
        <w:rPr>
          <w:rFonts w:ascii="Helvetica" w:hAnsi="Helvetica" w:cs="Helvetica"/>
          <w:color w:val="333333"/>
          <w:sz w:val="26"/>
          <w:szCs w:val="26"/>
        </w:rPr>
        <w:t xml:space="preserve">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 договору имущественного страхования может быть, в частности, застрахован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пункта 1 статьи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Законом обязанность возмещения вреда может быть возложена на лицо, не являющееся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1082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статьи 1 Федерального закона от 25 апреля 2002 г. №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(далее – договор обязательного страхования) – это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w:t>
      </w:r>
      <w:proofErr w:type="gramEnd"/>
      <w:r>
        <w:rPr>
          <w:rFonts w:ascii="Helvetica" w:hAnsi="Helvetica" w:cs="Helvetica"/>
          <w:color w:val="333333"/>
          <w:sz w:val="26"/>
          <w:szCs w:val="26"/>
        </w:rPr>
        <w:t xml:space="preserve">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Под страховым случаем понимается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Прямое возмещение убытков – это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подпункта «б» статьи 7 Закона об ОСАГО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в части возмещения вреда, причиненного имуществу каждого потерпевшего, составляет 400 тысяч рублей.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пункту 21 статьи 12 Закона об ОСАГО в редакции, применяемой к спорным отношениям,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w:t>
      </w:r>
      <w:proofErr w:type="gramEnd"/>
      <w:r>
        <w:rPr>
          <w:rFonts w:ascii="Helvetica" w:hAnsi="Helvetica" w:cs="Helvetica"/>
          <w:color w:val="333333"/>
          <w:sz w:val="26"/>
          <w:szCs w:val="26"/>
        </w:rPr>
        <w:t xml:space="preserve"> средства с указанием срока ремонта либо направить потерпевшему мотивированный отказ в страховой выплате.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Статьёй 121 Закона об ОСАГО установлено, что в целях установления обстоятель</w:t>
      </w:r>
      <w:proofErr w:type="gramStart"/>
      <w:r>
        <w:rPr>
          <w:rFonts w:ascii="Helvetica" w:hAnsi="Helvetica" w:cs="Helvetica"/>
          <w:color w:val="333333"/>
          <w:sz w:val="26"/>
          <w:szCs w:val="26"/>
        </w:rPr>
        <w:t>ств пр</w:t>
      </w:r>
      <w:proofErr w:type="gramEnd"/>
      <w:r>
        <w:rPr>
          <w:rFonts w:ascii="Helvetica" w:hAnsi="Helvetica" w:cs="Helvetica"/>
          <w:color w:val="333333"/>
          <w:sz w:val="26"/>
          <w:szCs w:val="26"/>
        </w:rPr>
        <w:t>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 (пункт 1).</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В силу пунктов 2, 3 и 5 статьи 161 Закона об ОСАГО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Российской Федерации от 7 февраля 1992 г. № 2300-1 «О защите прав потребителей» в части, не урегулированной настоящим Федеральным законом.</w:t>
      </w:r>
      <w:proofErr w:type="gramEnd"/>
      <w:r>
        <w:rPr>
          <w:rFonts w:ascii="Helvetica" w:hAnsi="Helvetica" w:cs="Helvetica"/>
          <w:color w:val="333333"/>
          <w:sz w:val="26"/>
          <w:szCs w:val="26"/>
        </w:rPr>
        <w:t xml:space="preserve">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w:t>
      </w:r>
      <w:proofErr w:type="gramStart"/>
      <w:r>
        <w:rPr>
          <w:rFonts w:ascii="Helvetica" w:hAnsi="Helvetica" w:cs="Helvetica"/>
          <w:color w:val="333333"/>
          <w:sz w:val="26"/>
          <w:szCs w:val="26"/>
        </w:rPr>
        <w:t>также</w:t>
      </w:r>
      <w:proofErr w:type="gramEnd"/>
      <w:r>
        <w:rPr>
          <w:rFonts w:ascii="Helvetica" w:hAnsi="Helvetica" w:cs="Helvetica"/>
          <w:color w:val="333333"/>
          <w:sz w:val="26"/>
          <w:szCs w:val="26"/>
        </w:rPr>
        <w:t xml:space="preserve"> если страховщик докажет, что нарушение сроков произошло вследствие непреодолимой силы или по вине потерпевшего.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Как указано в статье 15 Закона Российской Федерации от 7 февраля 1992 г.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частью 1 статьи 56 Гражданского процессуального кодекса Российской Федерации (далее –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4 июня 2017 г. в г. Набережные Челны по вине </w:t>
      </w:r>
      <w:r>
        <w:rPr>
          <w:rStyle w:val="fio1"/>
          <w:rFonts w:ascii="Helvetica" w:hAnsi="Helvetica" w:cs="Helvetica"/>
          <w:color w:val="333333"/>
          <w:sz w:val="26"/>
          <w:szCs w:val="26"/>
        </w:rPr>
        <w:t>И.И.М.</w:t>
      </w:r>
      <w:r>
        <w:rPr>
          <w:rFonts w:ascii="Helvetica" w:hAnsi="Helvetica" w:cs="Helvetica"/>
          <w:color w:val="333333"/>
          <w:sz w:val="26"/>
          <w:szCs w:val="26"/>
        </w:rPr>
        <w:t xml:space="preserve"> произошло ДТП, в котором он, управляя автомобилем марки «Лада», совершил столкновение с автомобилем марки «Шевроле» под управлением А.А. </w:t>
      </w:r>
      <w:r>
        <w:rPr>
          <w:rFonts w:ascii="Helvetica" w:hAnsi="Helvetica" w:cs="Helvetica"/>
          <w:color w:val="333333"/>
          <w:sz w:val="26"/>
          <w:szCs w:val="26"/>
        </w:rPr>
        <w:t>***</w:t>
      </w:r>
      <w:r>
        <w:rPr>
          <w:rFonts w:ascii="Helvetica" w:hAnsi="Helvetica" w:cs="Helvetica"/>
          <w:color w:val="333333"/>
          <w:sz w:val="26"/>
          <w:szCs w:val="26"/>
        </w:rPr>
        <w:t>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результате ДТП автомобиль «Шевроле» получил повреждения, а истцу как его собственнику причинён имущественный вред.</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На основании договоров обязательного страхования гражданская ответственность участников ДТП как владельцев управляемых автомобилей была застрахована, страховщиком гражданской ответственности истца является Общество, которое по заявлению истца признало указанное событие страховым случаем и в порядке прямого возмещения убытков выплатило ему страховое возмещение в общей сумме 39 318 руб. 51 коп., в том числе стоимость восстановительного ремонта автомобиля «Шевроле» с учётом износа в</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размере</w:t>
      </w:r>
      <w:proofErr w:type="gramEnd"/>
      <w:r>
        <w:rPr>
          <w:rFonts w:ascii="Helvetica" w:hAnsi="Helvetica" w:cs="Helvetica"/>
          <w:color w:val="333333"/>
          <w:sz w:val="26"/>
          <w:szCs w:val="26"/>
        </w:rPr>
        <w:t xml:space="preserve"> 19 600 руб., величину утраты его товарной стоимости – 16 718 руб. 51 коп., в возмещение расходов на оценку данной величины 3 000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Указанные обстоятельства не оспариваются апеллянтом, подтверждаются имеющимися в материалах дела и исследованными судом в ходе судебного разбирательства дела доказательствами, относимость, допустимость и достоверность которых сомнению не подвергаются.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Принимая обжалуемое решение, суд первой инстанции на основании всестороннего, полного, объективного и непосредственного исследования и оценки всех представленных доказательств, пришёл к обоснованным выводам о том, что стоимость восстановительного ремонта автомобиля истца «Шевроле», исходя из повреждений, полученных в результате рассматриваемого ДТП, с учётом износа заменяемых запасных частей составляет 30 540 руб. В связи с изложенным ответчик ненадлежащим образом исполнил своё обязательство</w:t>
      </w:r>
      <w:proofErr w:type="gramEnd"/>
      <w:r>
        <w:rPr>
          <w:rFonts w:ascii="Helvetica" w:hAnsi="Helvetica" w:cs="Helvetica"/>
          <w:color w:val="333333"/>
          <w:sz w:val="26"/>
          <w:szCs w:val="26"/>
        </w:rPr>
        <w:t xml:space="preserve"> перед истцом по выплате страхового возмещения по договору обязательного страхования и обязан доплатить ему 10 940 руб., компенсировать причинённый истцу как потребителю моральный вред в размере 1 000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апелляционной инстанции полностью соглашается с указанными выводами суда и признаёт их правильными, поскольку они соответствуют вышеприведённым нормам права, основаны на их правильном понимании и толковании. Кроме того, приведённые выводы суда соответствуют фактическим обстоятельствам дела, представленным доказательствам и подробно мотивированы в обжалуемом судебном постановлении.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Изложенные выводы суда подтверждаются совокупностью имеющихся по делу относимых, допустимых и достоверных доказательств, которые были оценены судом по правилам статьи 67 ГПК РФ, то есть по своему внутреннему убеждению, основанному на их всестороннем, полном, объективном и непосредственном исследовании; результаты оценки доказательств отражены в обжалуемом решении суда.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 суда апелляционной инстанции отсутствуют сомнения как в правильности произведённой судом первой инстанции оценки доказательств, так и в правильности и обоснованности выводов суда.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Доказательств, одновременно отвечающих требованиям относимости, допустимости и достоверности, которые опровергают указанные выводы суда первой инстанции, не имеется; доводы апелляционной жалобы выводы суда не опровергают и не содержат ссылок на обстоятельства и доказательства, которые не исследованы либо неверно оценены судом первой инстанции и способны повлиять на правильное разрешение дела.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частности, вывод суда о стоимости восстановительного ремонта автомобиля «Шевроле» основан на заключении эксперта общества с ограниченной ответственностью «Центр Оценки «</w:t>
      </w:r>
      <w:r>
        <w:rPr>
          <w:rFonts w:ascii="Helvetica" w:hAnsi="Helvetica" w:cs="Helvetica"/>
          <w:color w:val="333333"/>
          <w:sz w:val="26"/>
          <w:szCs w:val="26"/>
        </w:rPr>
        <w:t>***</w:t>
      </w:r>
      <w:r>
        <w:rPr>
          <w:rFonts w:ascii="Helvetica" w:hAnsi="Helvetica" w:cs="Helvetica"/>
          <w:color w:val="333333"/>
          <w:sz w:val="26"/>
          <w:szCs w:val="26"/>
        </w:rPr>
        <w:t>» </w:t>
      </w:r>
      <w:r>
        <w:rPr>
          <w:rStyle w:val="fio4"/>
          <w:rFonts w:ascii="Helvetica" w:hAnsi="Helvetica" w:cs="Helvetica"/>
          <w:color w:val="333333"/>
          <w:sz w:val="26"/>
          <w:szCs w:val="26"/>
        </w:rPr>
        <w:t>Г.В.К.</w:t>
      </w:r>
      <w:r>
        <w:rPr>
          <w:rFonts w:ascii="Helvetica" w:hAnsi="Helvetica" w:cs="Helvetica"/>
          <w:color w:val="333333"/>
          <w:sz w:val="26"/>
          <w:szCs w:val="26"/>
        </w:rPr>
        <w:t>, составленного по итогам проведения назначенной судом в ходе рассмотрения дела по ходатайству ответчика экспертизы.</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Данное заключение эксперта принято судом в качестве относимого, допустимого и достоверного доказательства, что апеллянтом </w:t>
      </w:r>
      <w:proofErr w:type="gramStart"/>
      <w:r>
        <w:rPr>
          <w:rFonts w:ascii="Helvetica" w:hAnsi="Helvetica" w:cs="Helvetica"/>
          <w:color w:val="333333"/>
          <w:sz w:val="26"/>
          <w:szCs w:val="26"/>
        </w:rPr>
        <w:t>на</w:t>
      </w:r>
      <w:proofErr w:type="gramEnd"/>
      <w:r>
        <w:rPr>
          <w:rFonts w:ascii="Helvetica" w:hAnsi="Helvetica" w:cs="Helvetica"/>
          <w:color w:val="333333"/>
          <w:sz w:val="26"/>
          <w:szCs w:val="26"/>
        </w:rPr>
        <w:t xml:space="preserve"> оспаривается и не опровергается. У суда апелляционной инстанции оснований сомневаться в правильности и обоснованности заключения эксперта не имеется.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 ответчика о том, что истец злоупотребил правом, так как не предоставил автомобиль для дополнительного осмотра, отклоняется.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материалах дела отсутствуют сведения о том, что Общество организовало проведение дополнительного осмотра автомобиля истца и истребовало у истца автомобиль на данный осмотр.</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Доказательств, свидетельствующих о злоупотреблении истцом своим правом, не имеется.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Утверждение ответчика об отсутствии оснований для взыскания компенсации морального вреда является необоснованным.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45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Истцу, являющемуся в спорных отношениях потребителем, в результате нарушения его права на выплату страхового возмещения в полном объёме со стороны Общества как исполнителя были причинены нравственные страдания, то есть моральный вред, который подлежит компенсации ответчиком.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Поэтому суд первой инстанции правомерно взыскал с ответчика в пользу истца компенсацию морального вреда.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Определённый судом размер компенсации морального вреда соответствует положениям статей 151 и 1101 ГК РФ, а именно характеру причиненных истцу нравственных страданий, фактическим обстоятельствам, при которых был причинен моральный вред, длительности нарушения права истца, степени вины ответчика, индивидуальным особенностям истца (полу, возрасту), а также требованиям разумности и справедливости.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принятии обжалуемого решения суд первой инстанции пришёл к выводам о том, что ответчик несвоевременно исполнил своё обязательство по выплате страхового возмещения истцу,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с Общества подлежит взысканию неустойка. Кроме того, ответчик должен уплатить истцу штраф за неисполнение в добровольном порядке требований потерпевшего. По ходатайству ответчика неустойка и штраф снижены судом на основании статьи 333 ГК РФ до 10 000 руб. и 5 000 руб. соответственно.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ответчика об отсутствии оснований для взыскания неустойки и штрафа отклоняются, так как Общество нарушило срок выплаты страхового возмещения в полном объёме и в добровольном порядке требование истца не исполнило. Сведений о том, что обязательства ответчика не были исполнены своевременно вследствие непреодолимой силы или виновных действий (бездействия) истца, не имеется.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доводы апеллянта о том, что суммы неустойки и штрафа определены неверно, заслуживают внимания.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пунктов 3 и 4 части 1 статьи 330 ГПК РФ основаниями для отмены или изменения решения суда в апелляционном порядке являются: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определяя размеры неустойки и штрафа, не произвёл расчёты подлежащих взысканию сумм без учёта уменьшения; в решении суда не указаны период просрочки осуществления страховой выплаты, количество просроченных дней, что имеет существенное значение для определения последствий нарушения обязательства ответчиком.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Из материалов дела следует, что истец обратился к ответчику с заявлением о прямом возмещении убытков с приложением необходимых документов 7 июня 2017 г. Данное обстоятельство доказывается объяснениями истца в иске, актами о страховом случае, составленными ответчиком.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Поэтому ответчик был обязан произвести страховую выплату в срок по 28 июня 2017 г. За период просрочки с 29 июня 2017 г. по 22 февраля 2018 г. (день принятия решения суда), то есть за 239 дней просрочки Общество обязано выплатить истцу законную неустойку от суммы невыплаченного в добровольном порядке страхового возмещения (согласно требованию истца).</w:t>
      </w:r>
      <w:proofErr w:type="gramEnd"/>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Размер подлежащей уплате неустойки составляет 26 146 руб. 60 коп. (10 940 руб. * 1% * 239 дней).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1 статьи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Данная правовая норма, не ограничивая сумму неустоек, вместе с тем </w:t>
      </w:r>
      <w:proofErr w:type="spellStart"/>
      <w:r>
        <w:rPr>
          <w:rFonts w:ascii="Helvetica" w:hAnsi="Helvetica" w:cs="Helvetica"/>
          <w:color w:val="333333"/>
          <w:sz w:val="26"/>
          <w:szCs w:val="26"/>
        </w:rPr>
        <w:t>управомочивает</w:t>
      </w:r>
      <w:proofErr w:type="spellEnd"/>
      <w:r>
        <w:rPr>
          <w:rFonts w:ascii="Helvetica" w:hAnsi="Helvetica" w:cs="Helvetica"/>
          <w:color w:val="333333"/>
          <w:sz w:val="26"/>
          <w:szCs w:val="26"/>
        </w:rPr>
        <w:t xml:space="preserve"> суд устанавливать соразмерные основному долгу их пределы с учетом действительного размера ущерба, причиненного стороне в каждом конкретном случае. Это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части 3 статьи 17 Конституции Российской Федерации, согласно которой осуществление прав и свобод человека и гражданина не должно нарушать права и свободы других лиц.</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Поэтому в статье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разъяснениям, изложенным в пункте 85 постановления Пленума Верховного Суда Российской Федерации от 26 декабря 2017 г. № 58 «О применении судами законодательства об обязательном страховании гражданской ответственности владельцев транспортных средств», применение статьи 333 ГК РФ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Helvetica" w:hAnsi="Helvetica" w:cs="Helvetica"/>
          <w:color w:val="333333"/>
          <w:sz w:val="26"/>
          <w:szCs w:val="26"/>
        </w:rPr>
        <w:t xml:space="preserve">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указываться мотивы, по которым суд пришел к выводу, что уменьшение их размера является допустимым.</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Принимая во внимание обстоятельства дела, период неисполнения обязательства ответчика, сумму просроченного обязательства, цену оказания услуги (размер страховой премии), подлежащая взысканию с ответчика неустойка явно несоразмерна последствиям нарушения обязательства и значительно превышает сумму возможных убытков, вызванных нарушением обязательства.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Изложенное</w:t>
      </w:r>
      <w:proofErr w:type="gramEnd"/>
      <w:r>
        <w:rPr>
          <w:rFonts w:ascii="Helvetica" w:hAnsi="Helvetica" w:cs="Helvetica"/>
          <w:color w:val="333333"/>
          <w:sz w:val="26"/>
          <w:szCs w:val="26"/>
        </w:rPr>
        <w:t xml:space="preserve"> свидетельствует об исключительности рассматриваемого случая для применения статьи 333 ГК РФ по соответствующему заявлению Общества в суде первой инстанции.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Истец в обоснование размера подлежащей взысканию неустойки не представил доводов, подтверждающих её соразмерность последствиям нарушения обязательства, в частности о каких-либо негативных последствиях для него вследствие неисполнения обязательства, и доказательств, </w:t>
      </w:r>
      <w:r>
        <w:rPr>
          <w:rFonts w:ascii="Helvetica" w:hAnsi="Helvetica" w:cs="Helvetica"/>
          <w:color w:val="333333"/>
          <w:sz w:val="26"/>
          <w:szCs w:val="26"/>
        </w:rPr>
        <w:lastRenderedPageBreak/>
        <w:t>свидетельствующих о том, какие последствия имеют нарушения обязательства для истца.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Однако снижение судом первой инстанции неустойки до 10 000 руб. не может быть признано правильным. С учётом обстоятельств дела, характера спорных отношений и допущенного Обществом нарушения, поведения сторон, требований разумности и справедливости суд апелляционной инстанции полагает допустимым снизить неустойку до 5 000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 сумма подлежащего взысканию с ответчика штрафа за неисполнение в добровольном порядке требований потерпевшего составляет 5 470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Принимая во внимание те же обстоятельства, что и при уменьшении неустойки, судебная коллегия полагает, что размер штрафа явно несоразмерен последствиям нарушения обязательства ответчика и значительно превышает сумму возможных убытков, вызванных нарушением обязательства, что свидетельствует об исключительности рассматриваемого случая для применения статьи 333 ГК РФ в отношении штрафа по соответствующему ходатайству Общества, заявленному в суде первой инстанции.</w:t>
      </w:r>
      <w:proofErr w:type="gramEnd"/>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штраф за несоблюдение в добровольном порядке удовлетворения требований потерпевшего является предусмотренным законом способом обеспечения исполнения обязательств, а потому, как и неустойка, может быть уменьшен на основании статьи 333 ГК РФ.</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Вместе с тем снижение судом первой инстанции штрафа до 5 000 руб., то есть только на 470 руб., является формальным и не может быть признано соразмерным последствиям нарушения обязательства.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учётом обстоятельств дела, характера спорных отношений и допущенного Обществом нарушения, поведения сторон, требований разумности и справедливости суд апелляционной инстанции полагает необходимым снизить штраф до 3 000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связи с рассмотрением данного дела истцом осуществлены расходы на оплату услуг представителя в размере 10 000 руб., а также на проведение экспертизы в сумме 5 000 руб. и на оплату почтовых услуг в размере 276 руб. 24 коп</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целях определения размера ущерба), что ответчиком не оспаривается, не опровергается и доказывается имеющимися в материалах дела документами.</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принятии обжалуемого решения суд первой инстанции пришёл к выводам о том, что расходы на проведение экспертизы подлежат возмещению истцу ответчиком в полном объёме, а расходы на оплату услуг представителя – в разумных пределах в сумме 6 000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 ответчика о том, что взысканная сумма в возмещение расходов на оплату услуг представителя завышена, отклоняется.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части 1 статьи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Установленная судом сумма подлежащих возмещению истцу расходов на оплату услуг представителя является разумной, так как соответствует сложности и длительности рассмотрения дела, категории спора, объёму заявленных и удовлетворённых исковых требований, цене иска, объёму оказанных истцу юридических услуг и совершённых в интересах истца представителем действий при рассмотрении дела, эффективности данных действий.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Доказатель</w:t>
      </w:r>
      <w:proofErr w:type="gramStart"/>
      <w:r>
        <w:rPr>
          <w:rFonts w:ascii="Helvetica" w:hAnsi="Helvetica" w:cs="Helvetica"/>
          <w:color w:val="333333"/>
          <w:sz w:val="26"/>
          <w:szCs w:val="26"/>
        </w:rPr>
        <w:t>ств чр</w:t>
      </w:r>
      <w:proofErr w:type="gramEnd"/>
      <w:r>
        <w:rPr>
          <w:rFonts w:ascii="Helvetica" w:hAnsi="Helvetica" w:cs="Helvetica"/>
          <w:color w:val="333333"/>
          <w:sz w:val="26"/>
          <w:szCs w:val="26"/>
        </w:rPr>
        <w:t>езмерности взысканной судом суммы в возмещение указанных расходов ответчиком не представлено.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Утверждение ответчика об отсутствии оснований для возмещения расходов на проведение экспертизы и судебной экспертизы не принимается во внимание.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Указанные расходы являются издержками, связанными с рассмотрением дела (статья 94 ГПК РФ), ввиду чего подлежат возмещению с ответчика по правилам части 2 статьи 85 и части 1 статьи 98 ГПК РФ.</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расходы на проведение экспертизы, назначенной судом первой инстанции и проведённой обществом с ограниченной ответственностью «Центр Оценки «</w:t>
      </w:r>
      <w:r>
        <w:rPr>
          <w:rFonts w:ascii="Helvetica" w:hAnsi="Helvetica" w:cs="Helvetica"/>
          <w:color w:val="333333"/>
          <w:sz w:val="26"/>
          <w:szCs w:val="26"/>
        </w:rPr>
        <w:t>***</w:t>
      </w:r>
      <w:r>
        <w:rPr>
          <w:rFonts w:ascii="Helvetica" w:hAnsi="Helvetica" w:cs="Helvetica"/>
          <w:color w:val="333333"/>
          <w:sz w:val="26"/>
          <w:szCs w:val="26"/>
        </w:rPr>
        <w:t>», при назначении экспертизы были возложены на ответчика, однако не оплачены им, поскольку соответствующих документов суду не представлено. Размер данных расходов составляет 25 000 руб., что доказывается представленным экспертной организацией счётом с финансово-экономическим обоснованием расчёта стоимости проведённой экспертизы, ответчиком не оспаривается и не опровергается.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части 2 статьи 85 ГПК РФ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части 1 статьи</w:t>
      </w:r>
      <w:proofErr w:type="gramEnd"/>
      <w:r>
        <w:rPr>
          <w:rFonts w:ascii="Helvetica" w:hAnsi="Helvetica" w:cs="Helvetica"/>
          <w:color w:val="333333"/>
          <w:sz w:val="26"/>
          <w:szCs w:val="26"/>
        </w:rPr>
        <w:t xml:space="preserve"> 96 и статьи 98 настоящего Кодекса.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частью 1 статьи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в нарушение указанных требований закона при возмещении истцу судебных расходов судом не принято во внимание, что требование истца о взыскании страхового возмещения было признано обоснованным лишь частично, в сумме 10 940 руб., что составляет 7,78% от предъявленного истцом требования о взыскании страхового возмещения (140 600 руб.).</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суд первой инстанции отказал в возмещении истцу почтовых расходов без указания мотивов отказа.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почтовые расходы были понесены истцом в целях извещения ответчика о проведении экспертизы для определения размера причинённого ущерба и цены иска, поэтому подлежат возмещению в качестве судебных расходов.</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Соответственно, общая сумма возмещаемых истцу судебных расходов составляет 11 276 руб. 24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пропорционально размеру удовлетворённого судом требования о взыскании страхового возмещения истцу подлежат возмещению ответчиком судебные расходы в сумме 877 руб. 29 коп.</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распределении расходов на проведение судебной экспертизы суд указал, что требования истца удовлетворены на 7,7%, что является математической ошибкой, так как требования истца удовлетворены на 7,78%</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Поэтому расходы на проведение судебной экспертизы подлежат возмещению экспертной организации ответчиком в сумме 1 945 руб. </w:t>
      </w:r>
      <w:r>
        <w:rPr>
          <w:rFonts w:ascii="Helvetica" w:hAnsi="Helvetica" w:cs="Helvetica"/>
          <w:color w:val="333333"/>
          <w:sz w:val="26"/>
          <w:szCs w:val="26"/>
        </w:rPr>
        <w:lastRenderedPageBreak/>
        <w:t xml:space="preserve">пропорционально размеру удовлетворённого судом требования о взыскании страхового возмещения, истцом – 23 055 руб. пропорционально размеру той части требования о взыскании страхового возмещения,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которой ему отказано.</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освобождён от уплаты государственной пошлины по настоящему делу, поэтому на основании статьи 103 ГПК РФ и пункта 1 статьи 333.19 Налогового кодекса Российской Федерации с ответчика в доход местного бюджета подлежит взысканию государственная пошлина за подачу иска в сумме 937 руб. 60 коп.</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пунктом 2 статьи 328, статьёй 329, пунктами 3 и 4 части 1 статьи 330 Гражданского процессуального кодекса Российской Федерации, судебная коллегия</w:t>
      </w:r>
    </w:p>
    <w:p w:rsidR="00024DDD" w:rsidRDefault="00024DDD" w:rsidP="00024DDD">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ОПРЕДЕЛИЛА:</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w:t>
      </w:r>
      <w:proofErr w:type="spellStart"/>
      <w:r>
        <w:rPr>
          <w:rFonts w:ascii="Helvetica" w:hAnsi="Helvetica" w:cs="Helvetica"/>
          <w:color w:val="333333"/>
          <w:sz w:val="26"/>
          <w:szCs w:val="26"/>
        </w:rPr>
        <w:t>Набережночелнинского</w:t>
      </w:r>
      <w:proofErr w:type="spellEnd"/>
      <w:r>
        <w:rPr>
          <w:rFonts w:ascii="Helvetica" w:hAnsi="Helvetica" w:cs="Helvetica"/>
          <w:color w:val="333333"/>
          <w:sz w:val="26"/>
          <w:szCs w:val="26"/>
        </w:rPr>
        <w:t xml:space="preserve"> городского суда Республики Татарстан от 22 февраля 2018 г. в части взыскания неустойки, штрафа, возмещения расходов на оплату юридических услуг, на оценку, взыскания государственной пошлины, возмещения расходов на проведение судебной экспертизы изменить; в части отказа в удовлетворении требования о возмещении почтовых расходов отменить.</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r>
        <w:rPr>
          <w:rFonts w:ascii="Helvetica" w:hAnsi="Helvetica" w:cs="Helvetica"/>
          <w:color w:val="333333"/>
          <w:sz w:val="26"/>
          <w:szCs w:val="26"/>
        </w:rPr>
        <w:t xml:space="preserve">а </w:t>
      </w:r>
      <w:r>
        <w:rPr>
          <w:rFonts w:ascii="Helvetica" w:hAnsi="Helvetica" w:cs="Helvetica"/>
          <w:color w:val="333333"/>
          <w:sz w:val="26"/>
          <w:szCs w:val="26"/>
        </w:rPr>
        <w:t>***</w:t>
      </w:r>
      <w:proofErr w:type="gramStart"/>
      <w:r>
        <w:rPr>
          <w:rFonts w:ascii="Helvetica" w:hAnsi="Helvetica" w:cs="Helvetica"/>
          <w:color w:val="333333"/>
          <w:sz w:val="26"/>
          <w:szCs w:val="26"/>
        </w:rPr>
        <w:t>а</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proofErr w:type="spellStart"/>
      <w:r>
        <w:rPr>
          <w:rFonts w:ascii="Helvetica" w:hAnsi="Helvetica" w:cs="Helvetica"/>
          <w:color w:val="333333"/>
          <w:sz w:val="26"/>
          <w:szCs w:val="26"/>
        </w:rPr>
        <w:t>овича</w:t>
      </w:r>
      <w:proofErr w:type="spellEnd"/>
      <w:r>
        <w:rPr>
          <w:rFonts w:ascii="Helvetica" w:hAnsi="Helvetica" w:cs="Helvetica"/>
          <w:color w:val="333333"/>
          <w:sz w:val="26"/>
          <w:szCs w:val="26"/>
        </w:rPr>
        <w:t xml:space="preserve"> неустойку в размере 5 000 рублей, штраф в сумме 3 000 рублей, в возмещение судебных расходов 877 рублей 29 копеек.</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в пользу общества с ограниченной ответственностью «Центр оценки «</w:t>
      </w:r>
      <w:r>
        <w:rPr>
          <w:rFonts w:ascii="Helvetica" w:hAnsi="Helvetica" w:cs="Helvetica"/>
          <w:color w:val="333333"/>
          <w:sz w:val="26"/>
          <w:szCs w:val="26"/>
        </w:rPr>
        <w:t>***</w:t>
      </w:r>
      <w:r>
        <w:rPr>
          <w:rFonts w:ascii="Helvetica" w:hAnsi="Helvetica" w:cs="Helvetica"/>
          <w:color w:val="333333"/>
          <w:sz w:val="26"/>
          <w:szCs w:val="26"/>
        </w:rPr>
        <w:t>» в возмещение расходов на проведение судебной экспертизы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1 945 рублей, с </w:t>
      </w:r>
      <w:r>
        <w:rPr>
          <w:rFonts w:ascii="Helvetica" w:hAnsi="Helvetica" w:cs="Helvetica"/>
          <w:color w:val="333333"/>
          <w:sz w:val="26"/>
          <w:szCs w:val="26"/>
        </w:rPr>
        <w:t>***</w:t>
      </w:r>
      <w:r>
        <w:rPr>
          <w:rFonts w:ascii="Helvetica" w:hAnsi="Helvetica" w:cs="Helvetica"/>
          <w:color w:val="333333"/>
          <w:sz w:val="26"/>
          <w:szCs w:val="26"/>
        </w:rPr>
        <w:t xml:space="preserve">а </w:t>
      </w:r>
      <w:r>
        <w:rPr>
          <w:rFonts w:ascii="Helvetica" w:hAnsi="Helvetica" w:cs="Helvetica"/>
          <w:color w:val="333333"/>
          <w:sz w:val="26"/>
          <w:szCs w:val="26"/>
        </w:rPr>
        <w:t>***</w:t>
      </w:r>
      <w:proofErr w:type="gramStart"/>
      <w:r>
        <w:rPr>
          <w:rFonts w:ascii="Helvetica" w:hAnsi="Helvetica" w:cs="Helvetica"/>
          <w:color w:val="333333"/>
          <w:sz w:val="26"/>
          <w:szCs w:val="26"/>
        </w:rPr>
        <w:t>а</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proofErr w:type="spellStart"/>
      <w:r>
        <w:rPr>
          <w:rFonts w:ascii="Helvetica" w:hAnsi="Helvetica" w:cs="Helvetica"/>
          <w:color w:val="333333"/>
          <w:sz w:val="26"/>
          <w:szCs w:val="26"/>
        </w:rPr>
        <w:t>овича</w:t>
      </w:r>
      <w:proofErr w:type="spellEnd"/>
      <w:r>
        <w:rPr>
          <w:rFonts w:ascii="Helvetica" w:hAnsi="Helvetica" w:cs="Helvetica"/>
          <w:color w:val="333333"/>
          <w:sz w:val="26"/>
          <w:szCs w:val="26"/>
        </w:rPr>
        <w:t xml:space="preserve"> 23 055 рублей.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доход бюджета муниципального образования г. Набережные Челны государственную пошлину в размере 937 рублей 60 копеек.</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решение суда оставить без изменения.</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суда вступает в законную силу со дня его принятия и может быть обжаловано в шестимесячный срок в кассационном порядке.</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024DDD" w:rsidRDefault="00024DDD" w:rsidP="00024DDD">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024DDD" w:rsidRDefault="00162026" w:rsidP="00024DDD">
      <w:pPr>
        <w:spacing w:after="0"/>
      </w:pPr>
      <w:bookmarkStart w:id="0" w:name="_GoBack"/>
      <w:bookmarkEnd w:id="0"/>
    </w:p>
    <w:sectPr w:rsidR="00162026" w:rsidRPr="00024DDD"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24DDD"/>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035F"/>
    <w:rsid w:val="003E42A1"/>
    <w:rsid w:val="00415BA1"/>
    <w:rsid w:val="00491544"/>
    <w:rsid w:val="0049383B"/>
    <w:rsid w:val="004B2E3B"/>
    <w:rsid w:val="004D1885"/>
    <w:rsid w:val="004F7D9B"/>
    <w:rsid w:val="00590CE7"/>
    <w:rsid w:val="005D2998"/>
    <w:rsid w:val="005E048A"/>
    <w:rsid w:val="005E4669"/>
    <w:rsid w:val="006663ED"/>
    <w:rsid w:val="00693406"/>
    <w:rsid w:val="006A02D5"/>
    <w:rsid w:val="006B3CB8"/>
    <w:rsid w:val="0071125F"/>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CF3974"/>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 w:type="paragraph" w:customStyle="1" w:styleId="msoclass70">
    <w:name w:val="msoclass70"/>
    <w:basedOn w:val="a"/>
    <w:rsid w:val="00CF3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 w:type="paragraph" w:customStyle="1" w:styleId="msoclass70">
    <w:name w:val="msoclass70"/>
    <w:basedOn w:val="a"/>
    <w:rsid w:val="00CF3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749600">
      <w:bodyDiv w:val="1"/>
      <w:marLeft w:val="0"/>
      <w:marRight w:val="0"/>
      <w:marTop w:val="0"/>
      <w:marBottom w:val="0"/>
      <w:divBdr>
        <w:top w:val="none" w:sz="0" w:space="0" w:color="auto"/>
        <w:left w:val="none" w:sz="0" w:space="0" w:color="auto"/>
        <w:bottom w:val="none" w:sz="0" w:space="0" w:color="auto"/>
        <w:right w:val="none" w:sz="0" w:space="0" w:color="auto"/>
      </w:divBdr>
      <w:divsChild>
        <w:div w:id="7876274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341">
      <w:bodyDiv w:val="1"/>
      <w:marLeft w:val="0"/>
      <w:marRight w:val="0"/>
      <w:marTop w:val="0"/>
      <w:marBottom w:val="0"/>
      <w:divBdr>
        <w:top w:val="none" w:sz="0" w:space="0" w:color="auto"/>
        <w:left w:val="none" w:sz="0" w:space="0" w:color="auto"/>
        <w:bottom w:val="none" w:sz="0" w:space="0" w:color="auto"/>
        <w:right w:val="none" w:sz="0" w:space="0" w:color="auto"/>
      </w:divBdr>
      <w:divsChild>
        <w:div w:id="199899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1810272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4328262">
      <w:bodyDiv w:val="1"/>
      <w:marLeft w:val="0"/>
      <w:marRight w:val="0"/>
      <w:marTop w:val="0"/>
      <w:marBottom w:val="0"/>
      <w:divBdr>
        <w:top w:val="none" w:sz="0" w:space="0" w:color="auto"/>
        <w:left w:val="none" w:sz="0" w:space="0" w:color="auto"/>
        <w:bottom w:val="none" w:sz="0" w:space="0" w:color="auto"/>
        <w:right w:val="none" w:sz="0" w:space="0" w:color="auto"/>
      </w:divBdr>
      <w:divsChild>
        <w:div w:id="353651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2476710">
      <w:bodyDiv w:val="1"/>
      <w:marLeft w:val="0"/>
      <w:marRight w:val="0"/>
      <w:marTop w:val="0"/>
      <w:marBottom w:val="0"/>
      <w:divBdr>
        <w:top w:val="none" w:sz="0" w:space="0" w:color="auto"/>
        <w:left w:val="none" w:sz="0" w:space="0" w:color="auto"/>
        <w:bottom w:val="none" w:sz="0" w:space="0" w:color="auto"/>
        <w:right w:val="none" w:sz="0" w:space="0" w:color="auto"/>
      </w:divBdr>
      <w:divsChild>
        <w:div w:id="4694384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1721609">
      <w:bodyDiv w:val="1"/>
      <w:marLeft w:val="0"/>
      <w:marRight w:val="0"/>
      <w:marTop w:val="0"/>
      <w:marBottom w:val="0"/>
      <w:divBdr>
        <w:top w:val="none" w:sz="0" w:space="0" w:color="auto"/>
        <w:left w:val="none" w:sz="0" w:space="0" w:color="auto"/>
        <w:bottom w:val="none" w:sz="0" w:space="0" w:color="auto"/>
        <w:right w:val="none" w:sz="0" w:space="0" w:color="auto"/>
      </w:divBdr>
      <w:divsChild>
        <w:div w:id="11579570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4596</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2</cp:revision>
  <cp:lastPrinted>2018-05-31T10:15:00Z</cp:lastPrinted>
  <dcterms:created xsi:type="dcterms:W3CDTF">2018-05-31T10:16:00Z</dcterms:created>
  <dcterms:modified xsi:type="dcterms:W3CDTF">2018-05-31T10:16:00Z</dcterms:modified>
</cp:coreProperties>
</file>